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76" w:rsidRDefault="002428B4">
      <w:pPr>
        <w:pStyle w:val="PI"/>
        <w:widowControl w:val="0"/>
        <w:spacing w:after="0" w:line="384" w:lineRule="auto"/>
        <w:ind w:right="1598" w:firstLine="0"/>
      </w:pPr>
      <w:bookmarkStart w:id="0" w:name="_top"/>
      <w:bookmarkStart w:id="1" w:name="_GoBack"/>
      <w:bookmarkEnd w:id="0"/>
      <w:bookmarkEnd w:id="1"/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153543</wp:posOffset>
            </wp:positionV>
            <wp:extent cx="1206373" cy="1595501"/>
            <wp:effectExtent l="0" t="0" r="0" b="0"/>
            <wp:wrapSquare wrapText="bothSides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DAEJUN~1\AppData\Local\Temp\Hnc\BinData\EMB000040889cc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373" cy="159550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Noto Sans KR"/>
          <w:b/>
          <w:sz w:val="20"/>
        </w:rPr>
        <w:t xml:space="preserve"> </w:t>
      </w:r>
    </w:p>
    <w:p w:rsidR="00ED7B76" w:rsidRDefault="002428B4">
      <w:pPr>
        <w:pStyle w:val="PI"/>
        <w:widowControl w:val="0"/>
        <w:spacing w:after="0" w:line="384" w:lineRule="auto"/>
        <w:ind w:right="1598" w:firstLine="0"/>
      </w:pPr>
      <w:r>
        <w:rPr>
          <w:rFonts w:ascii="Noto Sans KR"/>
          <w:sz w:val="20"/>
        </w:rPr>
        <w:t xml:space="preserve"> </w:t>
      </w:r>
    </w:p>
    <w:p w:rsidR="00ED7B76" w:rsidRDefault="002428B4">
      <w:pPr>
        <w:pStyle w:val="PI"/>
        <w:widowControl w:val="0"/>
        <w:spacing w:after="0" w:line="384" w:lineRule="auto"/>
        <w:ind w:right="1598" w:firstLine="0"/>
      </w:pPr>
      <w:r>
        <w:rPr>
          <w:rFonts w:ascii="Noto Sans KR"/>
          <w:sz w:val="20"/>
        </w:rPr>
        <w:t xml:space="preserve"> </w:t>
      </w:r>
      <w:r>
        <w:rPr>
          <w:rFonts w:ascii="Noto Sans KR"/>
          <w:b/>
          <w:sz w:val="20"/>
        </w:rPr>
        <w:t>First Author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 xml:space="preserve"> Jong-</w:t>
      </w:r>
      <w:proofErr w:type="spellStart"/>
      <w:r>
        <w:rPr>
          <w:rFonts w:ascii="Noto Sans KR"/>
          <w:shd w:val="clear" w:color="000000" w:fill="auto"/>
        </w:rPr>
        <w:t>hak</w:t>
      </w:r>
      <w:proofErr w:type="spellEnd"/>
      <w:r>
        <w:rPr>
          <w:rFonts w:ascii="Noto Sans KR"/>
          <w:shd w:val="clear" w:color="000000" w:fill="auto"/>
        </w:rPr>
        <w:t xml:space="preserve"> Kim (Kim </w:t>
      </w:r>
      <w:proofErr w:type="spellStart"/>
      <w:r>
        <w:rPr>
          <w:rFonts w:ascii="Noto Sans KR"/>
          <w:shd w:val="clear" w:color="000000" w:fill="auto"/>
        </w:rPr>
        <w:t>Joong-Hak</w:t>
      </w:r>
      <w:proofErr w:type="spellEnd"/>
      <w:r>
        <w:rPr>
          <w:rFonts w:ascii="Noto Sans KR"/>
          <w:shd w:val="clear" w:color="000000" w:fill="auto"/>
        </w:rPr>
        <w:t>, born 1958)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 xml:space="preserve"> Email: cgiso@naver.com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 xml:space="preserve"> Affiliation: Independent researcher and inventor residing in </w:t>
      </w:r>
      <w:proofErr w:type="spellStart"/>
      <w:r>
        <w:rPr>
          <w:rFonts w:ascii="Noto Sans KR"/>
          <w:shd w:val="clear" w:color="000000" w:fill="auto"/>
        </w:rPr>
        <w:t>Seongnam</w:t>
      </w:r>
      <w:proofErr w:type="spellEnd"/>
      <w:r>
        <w:rPr>
          <w:rFonts w:ascii="Noto Sans KR"/>
          <w:shd w:val="clear" w:color="000000" w:fill="auto"/>
        </w:rPr>
        <w:t>, Republic of Korea.</w:t>
      </w:r>
    </w:p>
    <w:p w:rsidR="00ED7B76" w:rsidRDefault="00ED7B76">
      <w:pPr>
        <w:pStyle w:val="a3"/>
        <w:widowControl/>
        <w:wordWrap/>
        <w:ind w:right="1598"/>
        <w:jc w:val="left"/>
        <w:rPr>
          <w:rFonts w:ascii="Noto Sans KR" w:eastAsia="Noto Sans KR"/>
          <w:shd w:val="clear" w:color="000000" w:fill="auto"/>
        </w:rPr>
      </w:pPr>
    </w:p>
    <w:p w:rsidR="00ED7B76" w:rsidRDefault="00ED7B76">
      <w:pPr>
        <w:pStyle w:val="a3"/>
        <w:widowControl/>
        <w:wordWrap/>
        <w:ind w:right="1598"/>
        <w:jc w:val="left"/>
        <w:rPr>
          <w:rFonts w:ascii="Noto Sans KR" w:eastAsia="Noto Sans KR"/>
          <w:shd w:val="clear" w:color="000000" w:fill="auto"/>
        </w:rPr>
      </w:pPr>
    </w:p>
    <w:p w:rsidR="00ED7B76" w:rsidRDefault="00ED7B76">
      <w:pPr>
        <w:pStyle w:val="a3"/>
        <w:widowControl/>
        <w:wordWrap/>
        <w:ind w:right="1598"/>
        <w:jc w:val="left"/>
        <w:rPr>
          <w:rFonts w:ascii="Noto Sans KR" w:eastAsia="Noto Sans KR"/>
          <w:shd w:val="clear" w:color="000000" w:fill="auto"/>
        </w:rPr>
      </w:pP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•</w:t>
      </w:r>
      <w:r>
        <w:rPr>
          <w:rFonts w:ascii="Noto Sans KR"/>
          <w:shd w:val="clear" w:color="000000" w:fill="auto"/>
        </w:rPr>
        <w:t xml:space="preserve"> Primary Research and Achievements: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 xml:space="preserve">Originator of Event Analysis Theory and </w:t>
      </w:r>
      <w:r>
        <w:rPr>
          <w:rFonts w:ascii="Noto Sans KR"/>
          <w:shd w:val="clear" w:color="000000" w:fill="auto"/>
        </w:rPr>
        <w:t>the Universal Judgment Structure.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This theory was developed from the premise that a common structural framework operates across diverse domains of judgment, including judicial rulings, administrative decisions, patent examinations, technical evaluations, a</w:t>
      </w:r>
      <w:r>
        <w:rPr>
          <w:rFonts w:ascii="Noto Sans KR"/>
          <w:shd w:val="clear" w:color="000000" w:fill="auto"/>
        </w:rPr>
        <w:t>nd artificial intelligence-based decision-making.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The research has established that all judgments necessarily follow a unified structure consisting of: Standard, Fact, Mapping, Consistency, and Explanation.</w:t>
      </w:r>
    </w:p>
    <w:p w:rsidR="00ED7B76" w:rsidRDefault="00ED7B76">
      <w:pPr>
        <w:pStyle w:val="a3"/>
        <w:widowControl/>
        <w:wordWrap/>
        <w:ind w:right="1598"/>
        <w:jc w:val="left"/>
        <w:rPr>
          <w:rFonts w:ascii="Noto Sans KR" w:eastAsia="Noto Sans KR"/>
          <w:shd w:val="clear" w:color="000000" w:fill="auto"/>
        </w:rPr>
      </w:pP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•</w:t>
      </w:r>
      <w:r>
        <w:rPr>
          <w:rFonts w:ascii="Noto Sans KR"/>
          <w:shd w:val="clear" w:color="000000" w:fill="auto"/>
        </w:rPr>
        <w:t xml:space="preserve"> Publications: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Author of publications on invest</w:t>
      </w:r>
      <w:r>
        <w:rPr>
          <w:rFonts w:ascii="Noto Sans KR"/>
          <w:shd w:val="clear" w:color="000000" w:fill="auto"/>
        </w:rPr>
        <w:t>igative, criminal, and civil litigation practice.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Author of formal decision request submissions (e.g., petitions, appeals) filed with courts and administrative authorities.</w:t>
      </w:r>
    </w:p>
    <w:p w:rsidR="00ED7B76" w:rsidRDefault="00ED7B76">
      <w:pPr>
        <w:pStyle w:val="a3"/>
        <w:widowControl/>
        <w:wordWrap/>
        <w:ind w:right="1598"/>
        <w:jc w:val="left"/>
        <w:rPr>
          <w:rFonts w:ascii="Noto Sans KR" w:eastAsia="Noto Sans KR"/>
          <w:shd w:val="clear" w:color="000000" w:fill="auto"/>
        </w:rPr>
      </w:pP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lastRenderedPageBreak/>
        <w:t>•</w:t>
      </w:r>
      <w:r>
        <w:rPr>
          <w:rFonts w:ascii="Noto Sans KR"/>
          <w:shd w:val="clear" w:color="000000" w:fill="auto"/>
        </w:rPr>
        <w:t xml:space="preserve"> Inventions and Standardized Frameworks: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Inventor of approximately 300 innovation</w:t>
      </w:r>
      <w:r>
        <w:rPr>
          <w:rFonts w:ascii="Noto Sans KR"/>
          <w:shd w:val="clear" w:color="000000" w:fill="auto"/>
        </w:rPr>
        <w:t>s.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Designer of standardized verification frameworks, including: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- The Field-25, Field-73, and Field-150 multi-layer evaluation systems.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- The S/O/D Responsibility Coordinate Model.</w:t>
      </w:r>
    </w:p>
    <w:p w:rsidR="00ED7B76" w:rsidRDefault="002428B4">
      <w:pPr>
        <w:pStyle w:val="a3"/>
        <w:widowControl/>
        <w:wordWrap/>
        <w:ind w:right="1598"/>
        <w:jc w:val="left"/>
      </w:pPr>
      <w:r>
        <w:rPr>
          <w:rFonts w:ascii="Noto Sans KR"/>
          <w:shd w:val="clear" w:color="000000" w:fill="auto"/>
        </w:rPr>
        <w:t>These frameworks enable the structural identification of judgment errors an</w:t>
      </w:r>
      <w:r>
        <w:rPr>
          <w:rFonts w:ascii="Noto Sans KR"/>
          <w:shd w:val="clear" w:color="000000" w:fill="auto"/>
        </w:rPr>
        <w:t>d the allocation of responsibility.</w:t>
      </w:r>
    </w:p>
    <w:p w:rsidR="00ED7B76" w:rsidRDefault="00ED7B76">
      <w:pPr>
        <w:pStyle w:val="PI"/>
        <w:widowControl w:val="0"/>
        <w:spacing w:line="384" w:lineRule="auto"/>
        <w:ind w:right="1598" w:firstLine="0"/>
        <w:rPr>
          <w:rFonts w:ascii="Noto Sans KR" w:eastAsia="Noto Sans KR"/>
          <w:sz w:val="20"/>
        </w:rPr>
      </w:pPr>
    </w:p>
    <w:sectPr w:rsidR="00ED7B76">
      <w:endnotePr>
        <w:numFmt w:val="decimal"/>
      </w:endnotePr>
      <w:pgSz w:w="11906" w:h="16837"/>
      <w:pgMar w:top="1701" w:right="1134" w:bottom="1417" w:left="1134" w:header="1701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6F6"/>
    <w:multiLevelType w:val="multilevel"/>
    <w:tmpl w:val="FBF2301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3C427173"/>
    <w:multiLevelType w:val="multilevel"/>
    <w:tmpl w:val="29C25E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3D1F16BB"/>
    <w:multiLevelType w:val="multilevel"/>
    <w:tmpl w:val="68366D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47EB55F7"/>
    <w:multiLevelType w:val="multilevel"/>
    <w:tmpl w:val="4336E2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4" w15:restartNumberingAfterBreak="0">
    <w:nsid w:val="4B181E4E"/>
    <w:multiLevelType w:val="multilevel"/>
    <w:tmpl w:val="78C0BC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5381340A"/>
    <w:multiLevelType w:val="multilevel"/>
    <w:tmpl w:val="271475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578D13BC"/>
    <w:multiLevelType w:val="multilevel"/>
    <w:tmpl w:val="699261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5E8A2194"/>
    <w:multiLevelType w:val="multilevel"/>
    <w:tmpl w:val="DB0CD5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69C33BED"/>
    <w:multiLevelType w:val="multilevel"/>
    <w:tmpl w:val="8182C0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C0934E9"/>
    <w:multiLevelType w:val="multilevel"/>
    <w:tmpl w:val="2F8EB4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76"/>
    <w:rsid w:val="002428B4"/>
    <w:rsid w:val="00E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AB803-973F-4C16-9418-07CDC744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td">
    <w:name w:val="td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bottom"/>
    </w:pPr>
    <w:rPr>
      <w:rFonts w:ascii="맑은 고딕" w:eastAsia="맑은 고딕"/>
      <w:color w:val="000000"/>
      <w:sz w:val="22"/>
    </w:rPr>
  </w:style>
  <w:style w:type="paragraph" w:customStyle="1" w:styleId="AU">
    <w:name w:val="AU"/>
    <w:uiPriority w:val="23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00" w:line="240" w:lineRule="auto"/>
      <w:ind w:right="2760"/>
      <w:jc w:val="left"/>
      <w:textAlignment w:val="baseline"/>
    </w:pPr>
    <w:rPr>
      <w:rFonts w:ascii="Helvetica" w:eastAsia="맑은 고딕"/>
      <w:b/>
      <w:color w:val="000000"/>
    </w:rPr>
  </w:style>
  <w:style w:type="paragraph" w:customStyle="1" w:styleId="PINoSpace">
    <w:name w:val="PI_No Space"/>
    <w:uiPriority w:val="2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180" w:lineRule="exact"/>
      <w:ind w:right="3200" w:firstLine="360"/>
      <w:jc w:val="left"/>
      <w:textAlignment w:val="baseline"/>
    </w:pPr>
    <w:rPr>
      <w:rFonts w:ascii="Times New Roman" w:eastAsia="맑은 고딕"/>
      <w:color w:val="000000"/>
      <w:sz w:val="16"/>
    </w:rPr>
  </w:style>
  <w:style w:type="paragraph" w:customStyle="1" w:styleId="PI">
    <w:name w:val="PI"/>
    <w:uiPriority w:val="2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540" w:line="180" w:lineRule="exact"/>
      <w:ind w:right="3200" w:firstLine="360"/>
      <w:jc w:val="left"/>
      <w:textAlignment w:val="baseline"/>
    </w:pPr>
    <w:rPr>
      <w:rFonts w:ascii="Times New Roman" w:eastAsia="맑은 고딕"/>
      <w:color w:val="000000"/>
      <w:sz w:val="16"/>
    </w:rPr>
  </w:style>
  <w:style w:type="paragraph" w:customStyle="1" w:styleId="AUBios">
    <w:name w:val="AU_Bios"/>
    <w:uiPriority w:val="2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1340" w:after="0" w:line="240" w:lineRule="auto"/>
      <w:textAlignment w:val="baseline"/>
    </w:pPr>
    <w:rPr>
      <w:rFonts w:ascii="Times New Roman" w:eastAsia="맑은 고딕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daejung11</dc:creator>
  <cp:lastModifiedBy>jh</cp:lastModifiedBy>
  <cp:revision>2</cp:revision>
  <dcterms:created xsi:type="dcterms:W3CDTF">2025-12-18T17:47:00Z</dcterms:created>
  <dcterms:modified xsi:type="dcterms:W3CDTF">2025-12-18T17:47:00Z</dcterms:modified>
  <cp:version>0501.0100.01</cp:version>
</cp:coreProperties>
</file>